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0" w:type="auto"/>
        <w:tblLook w:val="04A0" w:firstRow="1" w:lastRow="0" w:firstColumn="1" w:lastColumn="0" w:noHBand="0" w:noVBand="1"/>
      </w:tblPr>
      <w:tblGrid>
        <w:gridCol w:w="1034"/>
        <w:gridCol w:w="1825"/>
        <w:gridCol w:w="1497"/>
        <w:gridCol w:w="1128"/>
        <w:gridCol w:w="727"/>
        <w:gridCol w:w="1210"/>
        <w:gridCol w:w="724"/>
        <w:gridCol w:w="2210"/>
        <w:gridCol w:w="3593"/>
      </w:tblGrid>
      <w:tr w:rsidR="00093128" w14:paraId="18CCC9BD" w14:textId="77777777" w:rsidTr="00EB7ED0">
        <w:tc>
          <w:tcPr>
            <w:tcW w:w="0" w:type="auto"/>
            <w:tcBorders>
              <w:bottom w:val="single" w:sz="4" w:space="0" w:color="auto"/>
              <w:right w:val="single" w:sz="4" w:space="0" w:color="auto"/>
            </w:tcBorders>
            <w:shd w:val="clear" w:color="auto" w:fill="auto"/>
            <w:vAlign w:val="center"/>
          </w:tcPr>
          <w:p w14:paraId="4DD740A7" w14:textId="40D2BC2D" w:rsidR="00093128" w:rsidRPr="000B55FC" w:rsidRDefault="00BA7502" w:rsidP="0045018E">
            <w:pPr>
              <w:jc w:val="center"/>
              <w:rPr>
                <w:b/>
              </w:rPr>
            </w:pPr>
            <w:r>
              <w:tab/>
            </w:r>
          </w:p>
        </w:tc>
        <w:tc>
          <w:tcPr>
            <w:tcW w:w="0" w:type="auto"/>
            <w:tcBorders>
              <w:left w:val="single" w:sz="4" w:space="0" w:color="auto"/>
              <w:bottom w:val="single" w:sz="4" w:space="0" w:color="auto"/>
              <w:right w:val="single" w:sz="4" w:space="0" w:color="auto"/>
            </w:tcBorders>
            <w:vAlign w:val="center"/>
          </w:tcPr>
          <w:p w14:paraId="55D8312D" w14:textId="77777777" w:rsidR="00093128" w:rsidRPr="000B55FC" w:rsidRDefault="00093128" w:rsidP="0045018E">
            <w:pPr>
              <w:jc w:val="center"/>
              <w:rPr>
                <w:b/>
              </w:rPr>
            </w:pPr>
          </w:p>
        </w:tc>
        <w:tc>
          <w:tcPr>
            <w:tcW w:w="0" w:type="auto"/>
            <w:tcBorders>
              <w:left w:val="single" w:sz="4" w:space="0" w:color="auto"/>
              <w:bottom w:val="single" w:sz="4" w:space="0" w:color="auto"/>
              <w:right w:val="single" w:sz="4" w:space="0" w:color="auto"/>
            </w:tcBorders>
            <w:vAlign w:val="center"/>
          </w:tcPr>
          <w:p w14:paraId="61E38016" w14:textId="77777777" w:rsidR="00093128" w:rsidRPr="000B55FC" w:rsidRDefault="00093128" w:rsidP="0045018E">
            <w:pPr>
              <w:jc w:val="center"/>
              <w:rPr>
                <w:b/>
              </w:rPr>
            </w:pPr>
          </w:p>
        </w:tc>
        <w:tc>
          <w:tcPr>
            <w:tcW w:w="0" w:type="auto"/>
            <w:tcBorders>
              <w:left w:val="single" w:sz="4" w:space="0" w:color="auto"/>
              <w:bottom w:val="single" w:sz="4" w:space="0" w:color="auto"/>
              <w:right w:val="single" w:sz="4" w:space="0" w:color="auto"/>
            </w:tcBorders>
            <w:vAlign w:val="center"/>
          </w:tcPr>
          <w:p w14:paraId="6FB5A5AE" w14:textId="77777777" w:rsidR="00093128" w:rsidRPr="000B55FC" w:rsidRDefault="00093128" w:rsidP="0045018E">
            <w:pPr>
              <w:jc w:val="center"/>
              <w:rPr>
                <w:b/>
              </w:rPr>
            </w:pPr>
          </w:p>
        </w:tc>
        <w:tc>
          <w:tcPr>
            <w:tcW w:w="0" w:type="auto"/>
            <w:tcBorders>
              <w:left w:val="single" w:sz="4" w:space="0" w:color="auto"/>
              <w:bottom w:val="single" w:sz="4" w:space="0" w:color="auto"/>
              <w:right w:val="single" w:sz="4" w:space="0" w:color="auto"/>
            </w:tcBorders>
            <w:vAlign w:val="center"/>
          </w:tcPr>
          <w:p w14:paraId="26A1EE50" w14:textId="77777777" w:rsidR="00093128" w:rsidRPr="000B55FC" w:rsidRDefault="00093128" w:rsidP="0045018E">
            <w:pPr>
              <w:jc w:val="center"/>
              <w:rPr>
                <w:b/>
              </w:rPr>
            </w:pPr>
          </w:p>
        </w:tc>
        <w:tc>
          <w:tcPr>
            <w:tcW w:w="0" w:type="auto"/>
            <w:tcBorders>
              <w:left w:val="single" w:sz="4" w:space="0" w:color="auto"/>
              <w:bottom w:val="single" w:sz="4" w:space="0" w:color="auto"/>
              <w:right w:val="single" w:sz="4" w:space="0" w:color="auto"/>
            </w:tcBorders>
            <w:vAlign w:val="center"/>
          </w:tcPr>
          <w:p w14:paraId="2D402E55" w14:textId="77777777" w:rsidR="00093128" w:rsidRPr="000B55FC" w:rsidRDefault="00093128" w:rsidP="0045018E">
            <w:pPr>
              <w:jc w:val="center"/>
              <w:rPr>
                <w:b/>
                <w:bCs/>
              </w:rPr>
            </w:pPr>
            <w:r w:rsidRPr="40D7922F">
              <w:rPr>
                <w:b/>
                <w:bCs/>
              </w:rPr>
              <w:t>Timescales</w:t>
            </w:r>
          </w:p>
        </w:tc>
        <w:tc>
          <w:tcPr>
            <w:tcW w:w="0" w:type="auto"/>
            <w:tcBorders>
              <w:left w:val="single" w:sz="4" w:space="0" w:color="auto"/>
              <w:bottom w:val="single" w:sz="4" w:space="0" w:color="auto"/>
              <w:right w:val="single" w:sz="4" w:space="0" w:color="auto"/>
            </w:tcBorders>
            <w:vAlign w:val="center"/>
          </w:tcPr>
          <w:p w14:paraId="123E405C" w14:textId="77777777" w:rsidR="00093128" w:rsidRPr="000B55FC" w:rsidRDefault="00093128" w:rsidP="0045018E">
            <w:pPr>
              <w:jc w:val="center"/>
              <w:rPr>
                <w:b/>
              </w:rPr>
            </w:pPr>
          </w:p>
        </w:tc>
        <w:tc>
          <w:tcPr>
            <w:tcW w:w="0" w:type="auto"/>
            <w:tcBorders>
              <w:left w:val="single" w:sz="4" w:space="0" w:color="auto"/>
              <w:bottom w:val="single" w:sz="4" w:space="0" w:color="auto"/>
              <w:right w:val="single" w:sz="4" w:space="0" w:color="auto"/>
            </w:tcBorders>
            <w:vAlign w:val="center"/>
          </w:tcPr>
          <w:p w14:paraId="7937B5DA" w14:textId="77777777" w:rsidR="00093128" w:rsidRPr="00C9676D" w:rsidRDefault="00093128" w:rsidP="0045018E"/>
        </w:tc>
        <w:tc>
          <w:tcPr>
            <w:tcW w:w="0" w:type="auto"/>
            <w:tcBorders>
              <w:left w:val="single" w:sz="4" w:space="0" w:color="auto"/>
              <w:bottom w:val="single" w:sz="4" w:space="0" w:color="auto"/>
            </w:tcBorders>
          </w:tcPr>
          <w:p w14:paraId="69486162" w14:textId="77777777" w:rsidR="00093128" w:rsidRPr="007B7302" w:rsidRDefault="00093128" w:rsidP="0045018E">
            <w:pPr>
              <w:rPr>
                <w:b/>
              </w:rPr>
            </w:pPr>
            <w:r w:rsidRPr="007B7302">
              <w:rPr>
                <w:b/>
              </w:rPr>
              <w:t>FUEL POVERTY ACTION PLAN</w:t>
            </w:r>
          </w:p>
        </w:tc>
      </w:tr>
      <w:tr w:rsidR="00093128" w14:paraId="2342EFA5" w14:textId="77777777" w:rsidTr="00EB7ED0">
        <w:tc>
          <w:tcPr>
            <w:tcW w:w="0" w:type="auto"/>
            <w:tcBorders>
              <w:top w:val="single" w:sz="4" w:space="0" w:color="auto"/>
              <w:bottom w:val="single" w:sz="4" w:space="0" w:color="auto"/>
            </w:tcBorders>
          </w:tcPr>
          <w:p w14:paraId="03642909" w14:textId="77777777" w:rsidR="00093128" w:rsidRPr="00757D24" w:rsidRDefault="00093128" w:rsidP="0045018E">
            <w:pPr>
              <w:jc w:val="center"/>
              <w:rPr>
                <w:b/>
                <w:bCs/>
              </w:rPr>
            </w:pPr>
            <w:r w:rsidRPr="00757D24">
              <w:rPr>
                <w:b/>
                <w:bCs/>
              </w:rPr>
              <w:t>Category</w:t>
            </w:r>
          </w:p>
        </w:tc>
        <w:tc>
          <w:tcPr>
            <w:tcW w:w="0" w:type="auto"/>
            <w:tcBorders>
              <w:top w:val="single" w:sz="4" w:space="0" w:color="auto"/>
              <w:bottom w:val="single" w:sz="4" w:space="0" w:color="auto"/>
            </w:tcBorders>
          </w:tcPr>
          <w:p w14:paraId="3486FBC9" w14:textId="77777777" w:rsidR="00093128" w:rsidRPr="00757D24" w:rsidRDefault="00093128" w:rsidP="0045018E">
            <w:pPr>
              <w:jc w:val="center"/>
              <w:rPr>
                <w:b/>
                <w:bCs/>
              </w:rPr>
            </w:pPr>
            <w:r w:rsidRPr="00757D24">
              <w:rPr>
                <w:b/>
                <w:bCs/>
              </w:rPr>
              <w:t>Action</w:t>
            </w:r>
          </w:p>
        </w:tc>
        <w:tc>
          <w:tcPr>
            <w:tcW w:w="0" w:type="auto"/>
            <w:tcBorders>
              <w:top w:val="single" w:sz="4" w:space="0" w:color="auto"/>
              <w:bottom w:val="single" w:sz="4" w:space="0" w:color="auto"/>
            </w:tcBorders>
          </w:tcPr>
          <w:p w14:paraId="39762CBB" w14:textId="77777777" w:rsidR="00093128" w:rsidRPr="00757D24" w:rsidRDefault="00093128" w:rsidP="0045018E">
            <w:pPr>
              <w:jc w:val="center"/>
              <w:rPr>
                <w:b/>
                <w:bCs/>
              </w:rPr>
            </w:pPr>
            <w:r w:rsidRPr="00757D24">
              <w:rPr>
                <w:b/>
                <w:bCs/>
              </w:rPr>
              <w:t>Responsibility</w:t>
            </w:r>
          </w:p>
        </w:tc>
        <w:tc>
          <w:tcPr>
            <w:tcW w:w="0" w:type="auto"/>
            <w:tcBorders>
              <w:top w:val="single" w:sz="4" w:space="0" w:color="auto"/>
              <w:bottom w:val="single" w:sz="4" w:space="0" w:color="auto"/>
            </w:tcBorders>
          </w:tcPr>
          <w:p w14:paraId="059ECC31" w14:textId="77777777" w:rsidR="00093128" w:rsidRPr="00757D24" w:rsidRDefault="00093128" w:rsidP="0045018E">
            <w:pPr>
              <w:jc w:val="center"/>
              <w:rPr>
                <w:b/>
                <w:bCs/>
              </w:rPr>
            </w:pPr>
            <w:r w:rsidRPr="00757D24">
              <w:rPr>
                <w:b/>
                <w:bCs/>
              </w:rPr>
              <w:t>Available to</w:t>
            </w:r>
          </w:p>
        </w:tc>
        <w:tc>
          <w:tcPr>
            <w:tcW w:w="0" w:type="auto"/>
            <w:tcBorders>
              <w:top w:val="single" w:sz="4" w:space="0" w:color="auto"/>
            </w:tcBorders>
            <w:shd w:val="clear" w:color="auto" w:fill="C5E0B3" w:themeFill="accent6" w:themeFillTint="66"/>
          </w:tcPr>
          <w:p w14:paraId="380C2781" w14:textId="77777777" w:rsidR="00093128" w:rsidRDefault="00093128" w:rsidP="0045018E">
            <w:pPr>
              <w:jc w:val="center"/>
            </w:pPr>
            <w:r>
              <w:t>Short</w:t>
            </w:r>
          </w:p>
          <w:p w14:paraId="45544014" w14:textId="77777777" w:rsidR="00093128" w:rsidRDefault="00093128" w:rsidP="0045018E">
            <w:pPr>
              <w:jc w:val="center"/>
            </w:pPr>
            <w:r>
              <w:rPr>
                <w:sz w:val="16"/>
              </w:rPr>
              <w:t>1-3 months</w:t>
            </w:r>
          </w:p>
        </w:tc>
        <w:tc>
          <w:tcPr>
            <w:tcW w:w="0" w:type="auto"/>
            <w:tcBorders>
              <w:top w:val="single" w:sz="4" w:space="0" w:color="auto"/>
            </w:tcBorders>
            <w:shd w:val="clear" w:color="auto" w:fill="FFE599" w:themeFill="accent4" w:themeFillTint="66"/>
          </w:tcPr>
          <w:p w14:paraId="4C2B0C4B" w14:textId="77777777" w:rsidR="00093128" w:rsidRDefault="00093128" w:rsidP="0045018E">
            <w:pPr>
              <w:jc w:val="center"/>
            </w:pPr>
            <w:r>
              <w:t>Medium</w:t>
            </w:r>
          </w:p>
          <w:p w14:paraId="2A836899" w14:textId="77777777" w:rsidR="00093128" w:rsidRDefault="00093128" w:rsidP="0045018E">
            <w:pPr>
              <w:jc w:val="center"/>
            </w:pPr>
            <w:r>
              <w:rPr>
                <w:sz w:val="16"/>
              </w:rPr>
              <w:t>4 - 9 months</w:t>
            </w:r>
          </w:p>
        </w:tc>
        <w:tc>
          <w:tcPr>
            <w:tcW w:w="0" w:type="auto"/>
            <w:tcBorders>
              <w:top w:val="single" w:sz="4" w:space="0" w:color="auto"/>
            </w:tcBorders>
            <w:shd w:val="clear" w:color="auto" w:fill="F4B083" w:themeFill="accent2" w:themeFillTint="99"/>
          </w:tcPr>
          <w:p w14:paraId="0E5076C6" w14:textId="77777777" w:rsidR="00093128" w:rsidRDefault="00093128" w:rsidP="0045018E">
            <w:pPr>
              <w:jc w:val="center"/>
            </w:pPr>
            <w:r>
              <w:t>Long</w:t>
            </w:r>
          </w:p>
          <w:p w14:paraId="3FE93E74" w14:textId="77777777" w:rsidR="00093128" w:rsidRDefault="00093128" w:rsidP="0045018E">
            <w:pPr>
              <w:jc w:val="center"/>
            </w:pPr>
            <w:r>
              <w:rPr>
                <w:sz w:val="16"/>
              </w:rPr>
              <w:t>9+ months</w:t>
            </w:r>
          </w:p>
        </w:tc>
        <w:tc>
          <w:tcPr>
            <w:tcW w:w="0" w:type="auto"/>
            <w:tcBorders>
              <w:top w:val="single" w:sz="4" w:space="0" w:color="auto"/>
            </w:tcBorders>
          </w:tcPr>
          <w:p w14:paraId="720DCEA4" w14:textId="77777777" w:rsidR="00093128" w:rsidRPr="00757D24" w:rsidRDefault="00093128" w:rsidP="0045018E">
            <w:pPr>
              <w:jc w:val="center"/>
              <w:rPr>
                <w:b/>
                <w:bCs/>
              </w:rPr>
            </w:pPr>
            <w:r w:rsidRPr="4A41743C">
              <w:rPr>
                <w:b/>
                <w:bCs/>
              </w:rPr>
              <w:t>Key themes</w:t>
            </w:r>
          </w:p>
        </w:tc>
        <w:tc>
          <w:tcPr>
            <w:tcW w:w="0" w:type="auto"/>
            <w:tcBorders>
              <w:top w:val="single" w:sz="4" w:space="0" w:color="auto"/>
            </w:tcBorders>
          </w:tcPr>
          <w:p w14:paraId="16BD5601" w14:textId="77777777" w:rsidR="00093128" w:rsidRPr="00C9676D" w:rsidRDefault="00093128" w:rsidP="0045018E">
            <w:pPr>
              <w:rPr>
                <w:b/>
                <w:bCs/>
                <w:sz w:val="24"/>
                <w:szCs w:val="24"/>
              </w:rPr>
            </w:pPr>
            <w:r w:rsidRPr="4A41743C">
              <w:rPr>
                <w:b/>
                <w:bCs/>
                <w:sz w:val="24"/>
                <w:szCs w:val="24"/>
              </w:rPr>
              <w:t>UPDATE ON ACTIVITY</w:t>
            </w:r>
          </w:p>
          <w:p w14:paraId="7899118B" w14:textId="1768E21B" w:rsidR="00093128" w:rsidRPr="00C9676D" w:rsidRDefault="00626549" w:rsidP="0045018E">
            <w:pPr>
              <w:rPr>
                <w:b/>
                <w:bCs/>
                <w:sz w:val="24"/>
                <w:szCs w:val="24"/>
              </w:rPr>
            </w:pPr>
            <w:r>
              <w:rPr>
                <w:b/>
                <w:bCs/>
                <w:sz w:val="24"/>
                <w:szCs w:val="24"/>
              </w:rPr>
              <w:t xml:space="preserve">31 </w:t>
            </w:r>
            <w:r w:rsidR="00BD1E93">
              <w:rPr>
                <w:b/>
                <w:bCs/>
                <w:sz w:val="24"/>
                <w:szCs w:val="24"/>
              </w:rPr>
              <w:t>January</w:t>
            </w:r>
            <w:r>
              <w:rPr>
                <w:b/>
                <w:bCs/>
                <w:sz w:val="24"/>
                <w:szCs w:val="24"/>
              </w:rPr>
              <w:t xml:space="preserve"> 2024</w:t>
            </w:r>
          </w:p>
        </w:tc>
      </w:tr>
      <w:tr w:rsidR="00093128" w14:paraId="3F797E1A" w14:textId="77777777" w:rsidTr="3CFCED59">
        <w:tc>
          <w:tcPr>
            <w:tcW w:w="0" w:type="auto"/>
            <w:tcBorders>
              <w:bottom w:val="single" w:sz="4" w:space="0" w:color="auto"/>
            </w:tcBorders>
            <w:vAlign w:val="center"/>
          </w:tcPr>
          <w:p w14:paraId="59F04104" w14:textId="77777777" w:rsidR="00093128" w:rsidRPr="00547D5F" w:rsidRDefault="00093128" w:rsidP="0045018E">
            <w:pPr>
              <w:jc w:val="center"/>
              <w:rPr>
                <w:rFonts w:ascii="Calibri" w:hAnsi="Calibri" w:cs="Calibri"/>
                <w:b/>
                <w:bCs/>
                <w:color w:val="000000"/>
              </w:rPr>
            </w:pPr>
            <w:r w:rsidRPr="00547D5F">
              <w:rPr>
                <w:rFonts w:ascii="Calibri" w:hAnsi="Calibri" w:cs="Calibri"/>
                <w:b/>
                <w:bCs/>
                <w:color w:val="000000"/>
              </w:rPr>
              <w:t>Property</w:t>
            </w:r>
          </w:p>
        </w:tc>
        <w:tc>
          <w:tcPr>
            <w:tcW w:w="0" w:type="auto"/>
            <w:vAlign w:val="center"/>
          </w:tcPr>
          <w:p w14:paraId="70FB1981" w14:textId="77777777" w:rsidR="00093128" w:rsidRPr="00B30653" w:rsidRDefault="00093128" w:rsidP="0045018E">
            <w:pPr>
              <w:rPr>
                <w:rFonts w:ascii="Calibri" w:hAnsi="Calibri" w:cs="Calibri"/>
                <w:color w:val="000000"/>
              </w:rPr>
            </w:pPr>
            <w:r>
              <w:rPr>
                <w:rFonts w:ascii="Calibri" w:hAnsi="Calibri" w:cs="Calibri"/>
                <w:color w:val="000000"/>
              </w:rPr>
              <w:t>Order and obtain programme of works for pipeline infrastructure for viable connections</w:t>
            </w:r>
          </w:p>
        </w:tc>
        <w:tc>
          <w:tcPr>
            <w:tcW w:w="0" w:type="auto"/>
            <w:vAlign w:val="center"/>
          </w:tcPr>
          <w:p w14:paraId="6C0E6F02" w14:textId="77777777" w:rsidR="00093128" w:rsidRPr="00B30653" w:rsidRDefault="00093128" w:rsidP="0045018E">
            <w:pPr>
              <w:jc w:val="center"/>
              <w:rPr>
                <w:rFonts w:cstheme="minorHAnsi"/>
                <w:color w:val="000000"/>
              </w:rPr>
            </w:pPr>
          </w:p>
          <w:p w14:paraId="00C59764" w14:textId="77777777" w:rsidR="00093128" w:rsidRDefault="00093128" w:rsidP="0045018E">
            <w:pPr>
              <w:jc w:val="center"/>
            </w:pPr>
            <w:r>
              <w:t>Falkirk Council</w:t>
            </w:r>
          </w:p>
        </w:tc>
        <w:tc>
          <w:tcPr>
            <w:tcW w:w="0" w:type="auto"/>
            <w:vAlign w:val="center"/>
          </w:tcPr>
          <w:p w14:paraId="374D8DF4" w14:textId="77777777" w:rsidR="00093128" w:rsidRDefault="00093128" w:rsidP="0045018E">
            <w:pPr>
              <w:jc w:val="center"/>
            </w:pPr>
            <w:r>
              <w:t>Falkirk Council Tenants</w:t>
            </w:r>
          </w:p>
        </w:tc>
        <w:tc>
          <w:tcPr>
            <w:tcW w:w="0" w:type="auto"/>
            <w:shd w:val="clear" w:color="auto" w:fill="C5E0B3" w:themeFill="accent6" w:themeFillTint="66"/>
            <w:vAlign w:val="center"/>
          </w:tcPr>
          <w:p w14:paraId="354B8D14" w14:textId="77777777" w:rsidR="00093128" w:rsidRDefault="00093128" w:rsidP="0045018E">
            <w:pPr>
              <w:jc w:val="center"/>
              <w:rPr>
                <w:rFonts w:ascii="Wingdings" w:hAnsi="Wingdings" w:cs="Calibri"/>
                <w:color w:val="000000"/>
                <w:sz w:val="36"/>
                <w:szCs w:val="36"/>
              </w:rPr>
            </w:pPr>
            <w:r>
              <w:rPr>
                <w:rFonts w:ascii="Wingdings" w:hAnsi="Wingdings" w:cs="Calibri"/>
                <w:color w:val="000000"/>
                <w:sz w:val="36"/>
                <w:szCs w:val="36"/>
              </w:rPr>
              <w:t></w:t>
            </w:r>
          </w:p>
          <w:p w14:paraId="2E70097D" w14:textId="77777777" w:rsidR="00093128" w:rsidRDefault="00093128" w:rsidP="0045018E">
            <w:pPr>
              <w:jc w:val="center"/>
            </w:pPr>
          </w:p>
        </w:tc>
        <w:tc>
          <w:tcPr>
            <w:tcW w:w="0" w:type="auto"/>
            <w:shd w:val="clear" w:color="auto" w:fill="FFE599" w:themeFill="accent4" w:themeFillTint="66"/>
            <w:vAlign w:val="center"/>
          </w:tcPr>
          <w:p w14:paraId="1B28D65B" w14:textId="77777777" w:rsidR="00093128" w:rsidRDefault="00093128" w:rsidP="0045018E">
            <w:pPr>
              <w:jc w:val="center"/>
              <w:rPr>
                <w:rFonts w:ascii="Wingdings" w:hAnsi="Wingdings" w:cs="Calibri"/>
                <w:color w:val="000000"/>
                <w:sz w:val="36"/>
                <w:szCs w:val="36"/>
              </w:rPr>
            </w:pPr>
            <w:r>
              <w:rPr>
                <w:rFonts w:ascii="Wingdings" w:hAnsi="Wingdings" w:cs="Calibri"/>
                <w:color w:val="000000"/>
                <w:sz w:val="36"/>
                <w:szCs w:val="36"/>
              </w:rPr>
              <w:t></w:t>
            </w:r>
          </w:p>
          <w:p w14:paraId="08B421A7" w14:textId="77777777" w:rsidR="00093128" w:rsidRDefault="00093128" w:rsidP="0045018E">
            <w:pPr>
              <w:jc w:val="center"/>
            </w:pPr>
          </w:p>
        </w:tc>
        <w:tc>
          <w:tcPr>
            <w:tcW w:w="0" w:type="auto"/>
            <w:shd w:val="clear" w:color="auto" w:fill="F4B083" w:themeFill="accent2" w:themeFillTint="99"/>
            <w:vAlign w:val="center"/>
          </w:tcPr>
          <w:p w14:paraId="017BA6D0" w14:textId="77777777" w:rsidR="00093128" w:rsidRDefault="00093128" w:rsidP="0045018E">
            <w:pPr>
              <w:jc w:val="center"/>
              <w:rPr>
                <w:rFonts w:ascii="Wingdings" w:hAnsi="Wingdings" w:cs="Calibri"/>
                <w:color w:val="000000"/>
                <w:sz w:val="36"/>
                <w:szCs w:val="36"/>
              </w:rPr>
            </w:pPr>
            <w:r>
              <w:rPr>
                <w:rFonts w:ascii="Wingdings" w:hAnsi="Wingdings" w:cs="Calibri"/>
                <w:color w:val="000000"/>
                <w:sz w:val="36"/>
                <w:szCs w:val="36"/>
              </w:rPr>
              <w:t></w:t>
            </w:r>
          </w:p>
          <w:p w14:paraId="7FBB344D" w14:textId="77777777" w:rsidR="00093128" w:rsidRDefault="00093128" w:rsidP="0045018E">
            <w:pPr>
              <w:jc w:val="center"/>
            </w:pPr>
          </w:p>
        </w:tc>
        <w:tc>
          <w:tcPr>
            <w:tcW w:w="0" w:type="auto"/>
            <w:vAlign w:val="center"/>
          </w:tcPr>
          <w:p w14:paraId="4BD27DC3" w14:textId="77777777" w:rsidR="00093128" w:rsidRPr="004C489F" w:rsidRDefault="00093128" w:rsidP="0045018E">
            <w:pPr>
              <w:spacing w:line="276" w:lineRule="auto"/>
              <w:rPr>
                <w:rFonts w:ascii="Calibri" w:hAnsi="Calibri" w:cs="Calibri"/>
                <w:color w:val="000000"/>
              </w:rPr>
            </w:pPr>
            <w:r w:rsidRPr="7D9443FC">
              <w:rPr>
                <w:rFonts w:ascii="Calibri" w:hAnsi="Calibri" w:cs="Calibri"/>
                <w:color w:val="000000" w:themeColor="text1"/>
              </w:rPr>
              <w:t>Avonbridge, California, Slamannan Whitecross &amp; Letham to be taken forward with gas infrastructure programme followed by individual property connections.</w:t>
            </w:r>
          </w:p>
        </w:tc>
        <w:tc>
          <w:tcPr>
            <w:tcW w:w="0" w:type="auto"/>
            <w:tcBorders>
              <w:bottom w:val="single" w:sz="4" w:space="0" w:color="auto"/>
            </w:tcBorders>
          </w:tcPr>
          <w:p w14:paraId="652F76BB" w14:textId="77777777" w:rsidR="00093128" w:rsidRPr="00A92109" w:rsidRDefault="00093128" w:rsidP="0045018E">
            <w:pPr>
              <w:spacing w:after="160" w:line="259" w:lineRule="auto"/>
              <w:rPr>
                <w:rFonts w:ascii="Calibri" w:eastAsia="Calibri" w:hAnsi="Calibri" w:cs="Calibri"/>
                <w:lang w:val="en-US"/>
              </w:rPr>
            </w:pPr>
            <w:r w:rsidRPr="00A92109">
              <w:rPr>
                <w:rFonts w:ascii="Calibri" w:eastAsia="Calibri" w:hAnsi="Calibri" w:cs="Calibri"/>
                <w:b/>
                <w:color w:val="000000"/>
              </w:rPr>
              <w:t xml:space="preserve">Ongoing </w:t>
            </w:r>
          </w:p>
          <w:p w14:paraId="68EADC6B" w14:textId="77777777" w:rsidR="00093128" w:rsidRDefault="00093128" w:rsidP="0045018E">
            <w:pPr>
              <w:spacing w:after="160" w:line="259" w:lineRule="auto"/>
              <w:rPr>
                <w:rFonts w:ascii="Calibri" w:eastAsia="Calibri" w:hAnsi="Calibri" w:cs="Calibri"/>
                <w:lang w:val="en-US"/>
              </w:rPr>
            </w:pPr>
            <w:r w:rsidRPr="179CD3F2">
              <w:rPr>
                <w:rFonts w:ascii="Calibri" w:eastAsia="Calibri" w:hAnsi="Calibri" w:cs="Calibri"/>
                <w:lang w:val="en-US"/>
              </w:rPr>
              <w:t>Scottish Gas Network (SGN) are undergoing their own procurement exercise to appoint contractors to deliver this project.</w:t>
            </w:r>
          </w:p>
          <w:p w14:paraId="1516D1B6" w14:textId="320E1E4A" w:rsidR="00093128" w:rsidRDefault="00093128" w:rsidP="0045018E">
            <w:pPr>
              <w:spacing w:after="160" w:line="259" w:lineRule="auto"/>
              <w:rPr>
                <w:rFonts w:ascii="Calibri" w:eastAsia="Calibri" w:hAnsi="Calibri" w:cs="Calibri"/>
              </w:rPr>
            </w:pPr>
            <w:bookmarkStart w:id="0" w:name="_Hlk139012249"/>
            <w:r w:rsidRPr="179CD3F2">
              <w:rPr>
                <w:rFonts w:ascii="Calibri" w:eastAsia="Calibri" w:hAnsi="Calibri" w:cs="Calibri"/>
              </w:rPr>
              <w:t xml:space="preserve">SGN have completed their tender process, a stand still period to conclude the award process is due to complete, with the successful contractor </w:t>
            </w:r>
            <w:bookmarkEnd w:id="0"/>
            <w:r w:rsidR="00806C78">
              <w:rPr>
                <w:rFonts w:ascii="Calibri" w:eastAsia="Calibri" w:hAnsi="Calibri" w:cs="Calibri"/>
              </w:rPr>
              <w:t>now confirmed.</w:t>
            </w:r>
          </w:p>
          <w:p w14:paraId="2777E89E" w14:textId="77777777" w:rsidR="00093128" w:rsidRPr="00D24FAB" w:rsidRDefault="00093128" w:rsidP="0045018E">
            <w:pPr>
              <w:spacing w:after="160" w:line="259" w:lineRule="auto"/>
              <w:rPr>
                <w:rFonts w:ascii="Calibri" w:eastAsia="Calibri" w:hAnsi="Calibri" w:cs="Calibri"/>
              </w:rPr>
            </w:pPr>
            <w:r w:rsidRPr="179CD3F2">
              <w:rPr>
                <w:rFonts w:ascii="Calibri" w:eastAsia="Calibri" w:hAnsi="Calibri" w:cs="Calibri"/>
              </w:rPr>
              <w:t>SGN have provided an indicative proposed programme as below: -</w:t>
            </w:r>
          </w:p>
          <w:p w14:paraId="3E23C366" w14:textId="77777777" w:rsidR="00093128" w:rsidRPr="00201F44" w:rsidRDefault="00093128" w:rsidP="0045018E">
            <w:pPr>
              <w:rPr>
                <w:rFonts w:ascii="Calibri" w:eastAsia="Calibri" w:hAnsi="Calibri" w:cs="Calibri"/>
                <w:b/>
                <w:bCs/>
              </w:rPr>
            </w:pPr>
            <w:r w:rsidRPr="00201F44">
              <w:rPr>
                <w:rFonts w:ascii="Calibri" w:eastAsia="Calibri" w:hAnsi="Calibri" w:cs="Calibri"/>
                <w:b/>
                <w:bCs/>
                <w:u w:val="single"/>
              </w:rPr>
              <w:t>Project 1 (California to Slamannan)</w:t>
            </w:r>
            <w:r w:rsidRPr="00201F44">
              <w:rPr>
                <w:rFonts w:ascii="Calibri" w:eastAsia="Calibri" w:hAnsi="Calibri" w:cs="Calibri"/>
                <w:b/>
                <w:bCs/>
              </w:rPr>
              <w:t xml:space="preserve"> </w:t>
            </w:r>
          </w:p>
          <w:p w14:paraId="7D0BFD43" w14:textId="77777777" w:rsidR="00093128" w:rsidRPr="00201F44" w:rsidRDefault="00093128" w:rsidP="00093128">
            <w:pPr>
              <w:pStyle w:val="ListParagraph"/>
              <w:numPr>
                <w:ilvl w:val="0"/>
                <w:numId w:val="1"/>
              </w:numPr>
              <w:rPr>
                <w:rFonts w:ascii="Calibri" w:eastAsia="Calibri" w:hAnsi="Calibri" w:cs="Calibri"/>
              </w:rPr>
            </w:pPr>
            <w:r w:rsidRPr="00201F44">
              <w:rPr>
                <w:rFonts w:ascii="Calibri" w:eastAsia="Calibri" w:hAnsi="Calibri" w:cs="Calibri"/>
              </w:rPr>
              <w:t xml:space="preserve">California </w:t>
            </w:r>
            <w:proofErr w:type="gramStart"/>
            <w:r w:rsidRPr="00201F44">
              <w:rPr>
                <w:rFonts w:ascii="Calibri" w:eastAsia="Calibri" w:hAnsi="Calibri" w:cs="Calibri"/>
              </w:rPr>
              <w:t>site</w:t>
            </w:r>
            <w:proofErr w:type="gramEnd"/>
            <w:r w:rsidRPr="00201F44">
              <w:rPr>
                <w:rFonts w:ascii="Calibri" w:eastAsia="Calibri" w:hAnsi="Calibri" w:cs="Calibri"/>
              </w:rPr>
              <w:t xml:space="preserve"> start Oct 23, gas on April 24</w:t>
            </w:r>
          </w:p>
          <w:p w14:paraId="4FFFF20B" w14:textId="77777777" w:rsidR="00093128" w:rsidRPr="00201F44" w:rsidRDefault="00093128" w:rsidP="00093128">
            <w:pPr>
              <w:pStyle w:val="ListParagraph"/>
              <w:numPr>
                <w:ilvl w:val="0"/>
                <w:numId w:val="1"/>
              </w:numPr>
              <w:rPr>
                <w:rFonts w:ascii="Calibri" w:eastAsia="Calibri" w:hAnsi="Calibri" w:cs="Calibri"/>
              </w:rPr>
            </w:pPr>
            <w:r w:rsidRPr="00201F44">
              <w:rPr>
                <w:rFonts w:ascii="Calibri" w:eastAsia="Calibri" w:hAnsi="Calibri" w:cs="Calibri"/>
              </w:rPr>
              <w:t>Avonbridge site start May 24, gas on July 24</w:t>
            </w:r>
          </w:p>
          <w:p w14:paraId="28F56FD5" w14:textId="77777777" w:rsidR="00093128" w:rsidRPr="00201F44" w:rsidRDefault="00093128" w:rsidP="00093128">
            <w:pPr>
              <w:pStyle w:val="ListParagraph"/>
              <w:numPr>
                <w:ilvl w:val="0"/>
                <w:numId w:val="1"/>
              </w:numPr>
              <w:rPr>
                <w:rFonts w:ascii="Calibri" w:eastAsia="Calibri" w:hAnsi="Calibri" w:cs="Calibri"/>
              </w:rPr>
            </w:pPr>
            <w:r w:rsidRPr="00201F44">
              <w:rPr>
                <w:rFonts w:ascii="Calibri" w:eastAsia="Calibri" w:hAnsi="Calibri" w:cs="Calibri"/>
              </w:rPr>
              <w:t>Slamannan site start July 24, gas on to be targeted for end of 2024, however, may take until April 25</w:t>
            </w:r>
          </w:p>
          <w:p w14:paraId="6ACFFE11" w14:textId="77777777" w:rsidR="00093128" w:rsidRPr="00D24FAB" w:rsidRDefault="00093128" w:rsidP="0045018E">
            <w:pPr>
              <w:rPr>
                <w:rFonts w:ascii="Calibri" w:eastAsia="Calibri" w:hAnsi="Calibri" w:cs="Calibri"/>
              </w:rPr>
            </w:pPr>
          </w:p>
          <w:p w14:paraId="4852BB26" w14:textId="77777777" w:rsidR="00093128" w:rsidRPr="00201F44" w:rsidRDefault="00093128" w:rsidP="0045018E">
            <w:pPr>
              <w:rPr>
                <w:rFonts w:ascii="Calibri" w:eastAsia="Calibri" w:hAnsi="Calibri" w:cs="Calibri"/>
                <w:b/>
                <w:bCs/>
                <w:u w:val="single"/>
              </w:rPr>
            </w:pPr>
            <w:r w:rsidRPr="00201F44">
              <w:rPr>
                <w:rFonts w:ascii="Calibri" w:eastAsia="Calibri" w:hAnsi="Calibri" w:cs="Calibri"/>
                <w:b/>
                <w:bCs/>
                <w:u w:val="single"/>
              </w:rPr>
              <w:t>Project 2 (Whitecross)</w:t>
            </w:r>
          </w:p>
          <w:p w14:paraId="28E28D14" w14:textId="77777777" w:rsidR="00093128" w:rsidRPr="00201F44" w:rsidRDefault="00093128" w:rsidP="00093128">
            <w:pPr>
              <w:pStyle w:val="ListParagraph"/>
              <w:numPr>
                <w:ilvl w:val="0"/>
                <w:numId w:val="2"/>
              </w:numPr>
              <w:rPr>
                <w:rFonts w:ascii="Calibri" w:eastAsia="Calibri" w:hAnsi="Calibri" w:cs="Calibri"/>
              </w:rPr>
            </w:pPr>
            <w:r w:rsidRPr="00201F44">
              <w:rPr>
                <w:rFonts w:ascii="Calibri" w:eastAsia="Calibri" w:hAnsi="Calibri" w:cs="Calibri"/>
              </w:rPr>
              <w:t>Site start Sept/Oct 23, gas on May 24</w:t>
            </w:r>
          </w:p>
          <w:p w14:paraId="164AFDCD" w14:textId="77777777" w:rsidR="00093128" w:rsidRPr="00D24FAB" w:rsidRDefault="00093128" w:rsidP="0045018E">
            <w:pPr>
              <w:rPr>
                <w:rFonts w:ascii="Calibri" w:eastAsia="Calibri" w:hAnsi="Calibri" w:cs="Calibri"/>
              </w:rPr>
            </w:pPr>
          </w:p>
          <w:p w14:paraId="55F76A87" w14:textId="77777777" w:rsidR="00093128" w:rsidRPr="00201F44" w:rsidRDefault="00093128" w:rsidP="0045018E">
            <w:pPr>
              <w:rPr>
                <w:rFonts w:ascii="Calibri" w:eastAsia="Calibri" w:hAnsi="Calibri" w:cs="Calibri"/>
                <w:b/>
                <w:bCs/>
                <w:u w:val="single"/>
              </w:rPr>
            </w:pPr>
            <w:r w:rsidRPr="00201F44">
              <w:rPr>
                <w:rFonts w:ascii="Calibri" w:eastAsia="Calibri" w:hAnsi="Calibri" w:cs="Calibri"/>
                <w:b/>
                <w:bCs/>
                <w:u w:val="single"/>
              </w:rPr>
              <w:lastRenderedPageBreak/>
              <w:t>Project 3 (Letham)</w:t>
            </w:r>
          </w:p>
          <w:p w14:paraId="0FBE9AB5" w14:textId="77777777" w:rsidR="00093128" w:rsidRPr="00201F44" w:rsidRDefault="00093128" w:rsidP="00093128">
            <w:pPr>
              <w:pStyle w:val="ListParagraph"/>
              <w:numPr>
                <w:ilvl w:val="0"/>
                <w:numId w:val="2"/>
              </w:numPr>
              <w:rPr>
                <w:rFonts w:ascii="Calibri" w:eastAsia="Calibri" w:hAnsi="Calibri" w:cs="Calibri"/>
                <w:u w:val="single"/>
              </w:rPr>
            </w:pPr>
            <w:r w:rsidRPr="179CD3F2">
              <w:rPr>
                <w:rFonts w:ascii="Calibri" w:eastAsia="Calibri" w:hAnsi="Calibri" w:cs="Calibri"/>
              </w:rPr>
              <w:t>Site start Sept/Oct 23, gas on March 24</w:t>
            </w:r>
          </w:p>
          <w:p w14:paraId="1E41C72E" w14:textId="77777777" w:rsidR="00093128" w:rsidRDefault="00093128" w:rsidP="0045018E">
            <w:pPr>
              <w:rPr>
                <w:rFonts w:ascii="Calibri" w:eastAsia="Calibri" w:hAnsi="Calibri" w:cs="Calibri"/>
              </w:rPr>
            </w:pPr>
          </w:p>
          <w:p w14:paraId="5C82F6BE" w14:textId="77777777" w:rsidR="00093128" w:rsidRDefault="00093128" w:rsidP="0045018E">
            <w:pPr>
              <w:rPr>
                <w:rFonts w:ascii="Calibri" w:eastAsia="Calibri" w:hAnsi="Calibri" w:cs="Calibri"/>
                <w:lang w:val="en-US"/>
              </w:rPr>
            </w:pPr>
            <w:r w:rsidRPr="179CD3F2">
              <w:rPr>
                <w:rFonts w:ascii="Calibri" w:eastAsia="Calibri" w:hAnsi="Calibri" w:cs="Calibri"/>
              </w:rPr>
              <w:t xml:space="preserve">Further detailed information will be confirmed from SGN once the contracts are let. </w:t>
            </w:r>
          </w:p>
          <w:p w14:paraId="2740B85B" w14:textId="77777777" w:rsidR="00093128" w:rsidRDefault="00093128" w:rsidP="0045018E">
            <w:pPr>
              <w:rPr>
                <w:rFonts w:ascii="Calibri" w:eastAsia="Calibri" w:hAnsi="Calibri" w:cs="Calibri"/>
              </w:rPr>
            </w:pPr>
          </w:p>
          <w:p w14:paraId="78ED5305" w14:textId="77777777" w:rsidR="00093128" w:rsidRDefault="00093128" w:rsidP="0045018E">
            <w:pPr>
              <w:rPr>
                <w:rFonts w:ascii="Calibri" w:eastAsia="Calibri" w:hAnsi="Calibri" w:cs="Calibri"/>
                <w:lang w:val="en-US"/>
              </w:rPr>
            </w:pPr>
            <w:r w:rsidRPr="179CD3F2">
              <w:rPr>
                <w:rFonts w:ascii="Calibri" w:eastAsia="Calibri" w:hAnsi="Calibri" w:cs="Calibri"/>
                <w:lang w:val="en-US"/>
              </w:rPr>
              <w:t>The successful contractor is likely to have a significant mobilisation period to obtain the necessary road and other consents and carry out ground investigation surveys prior to starting work.</w:t>
            </w:r>
          </w:p>
          <w:p w14:paraId="4396F076" w14:textId="77777777" w:rsidR="00093128" w:rsidRDefault="00093128" w:rsidP="0045018E">
            <w:pPr>
              <w:rPr>
                <w:rFonts w:ascii="Calibri" w:eastAsia="Calibri" w:hAnsi="Calibri" w:cs="Calibri"/>
                <w:lang w:val="en-US"/>
              </w:rPr>
            </w:pPr>
            <w:r w:rsidRPr="74C0A43F">
              <w:rPr>
                <w:rFonts w:ascii="Calibri" w:eastAsia="Calibri" w:hAnsi="Calibri" w:cs="Calibri"/>
                <w:lang w:val="en-US"/>
              </w:rPr>
              <w:t xml:space="preserve"> </w:t>
            </w:r>
          </w:p>
          <w:p w14:paraId="1093AC45" w14:textId="77777777" w:rsidR="00093128" w:rsidRDefault="00093128" w:rsidP="0045018E">
            <w:pPr>
              <w:rPr>
                <w:rFonts w:ascii="Calibri" w:eastAsia="Calibri" w:hAnsi="Calibri" w:cs="Calibri"/>
              </w:rPr>
            </w:pPr>
            <w:r w:rsidRPr="74C0A43F">
              <w:rPr>
                <w:rFonts w:ascii="Calibri" w:eastAsia="Calibri" w:hAnsi="Calibri" w:cs="Calibri"/>
              </w:rPr>
              <w:t>Gas supply will be available to progress to installations after each individual area is completed.</w:t>
            </w:r>
            <w:r w:rsidRPr="74C0A43F">
              <w:rPr>
                <w:rFonts w:ascii="Calibri" w:hAnsi="Calibri" w:cs="Calibri"/>
                <w:b/>
                <w:bCs/>
                <w:color w:val="000000" w:themeColor="text1"/>
              </w:rPr>
              <w:t xml:space="preserve"> </w:t>
            </w:r>
          </w:p>
          <w:p w14:paraId="0C449EE6" w14:textId="77777777" w:rsidR="00093128" w:rsidRDefault="00093128" w:rsidP="0045018E">
            <w:pPr>
              <w:spacing w:line="257" w:lineRule="auto"/>
              <w:rPr>
                <w:rFonts w:ascii="Calibri" w:eastAsia="Calibri" w:hAnsi="Calibri" w:cs="Calibri"/>
              </w:rPr>
            </w:pPr>
          </w:p>
          <w:p w14:paraId="3F908A23" w14:textId="77777777" w:rsidR="00093128" w:rsidRDefault="00093128" w:rsidP="0045018E">
            <w:pPr>
              <w:spacing w:line="257" w:lineRule="auto"/>
              <w:rPr>
                <w:rFonts w:ascii="Calibri" w:eastAsia="Calibri" w:hAnsi="Calibri" w:cs="Calibri"/>
              </w:rPr>
            </w:pPr>
            <w:r w:rsidRPr="179CD3F2">
              <w:rPr>
                <w:rFonts w:ascii="Calibri" w:eastAsia="Calibri" w:hAnsi="Calibri" w:cs="Calibri"/>
              </w:rPr>
              <w:t>SGN have a dedicated comms team who are in the process of issuing letters to all residents advising of the upcoming works and the dates drop-in centres will be available prior to the works starting to allow residents to pop in, get info and ask questions.</w:t>
            </w:r>
          </w:p>
          <w:p w14:paraId="27103D7A" w14:textId="77777777" w:rsidR="00093128" w:rsidRDefault="00093128" w:rsidP="0045018E">
            <w:pPr>
              <w:spacing w:line="257" w:lineRule="auto"/>
              <w:rPr>
                <w:rFonts w:ascii="Calibri" w:eastAsia="Calibri" w:hAnsi="Calibri" w:cs="Calibri"/>
              </w:rPr>
            </w:pPr>
            <w:r w:rsidRPr="4FC2836B">
              <w:rPr>
                <w:rFonts w:ascii="Calibri" w:eastAsia="Calibri" w:hAnsi="Calibri" w:cs="Calibri"/>
              </w:rPr>
              <w:t xml:space="preserve"> </w:t>
            </w:r>
          </w:p>
          <w:p w14:paraId="35134637" w14:textId="77777777" w:rsidR="00093128" w:rsidRPr="004E1ACF" w:rsidRDefault="00093128" w:rsidP="0045018E">
            <w:pPr>
              <w:spacing w:line="257" w:lineRule="auto"/>
              <w:rPr>
                <w:rFonts w:ascii="Calibri" w:eastAsia="Calibri" w:hAnsi="Calibri" w:cs="Calibri"/>
              </w:rPr>
            </w:pPr>
            <w:r w:rsidRPr="74C0A43F">
              <w:rPr>
                <w:rFonts w:ascii="Calibri" w:eastAsia="Calibri" w:hAnsi="Calibri" w:cs="Calibri"/>
              </w:rPr>
              <w:t xml:space="preserve">When all is available the intention is for information regarding location of works, temporary traffic lights, and roads closures to be accessible to </w:t>
            </w:r>
            <w:r w:rsidRPr="74C0A43F">
              <w:rPr>
                <w:rFonts w:ascii="Calibri" w:eastAsia="Calibri" w:hAnsi="Calibri" w:cs="Calibri"/>
              </w:rPr>
              <w:lastRenderedPageBreak/>
              <w:t>residents to allow them to plan and be aware of what is happening whe</w:t>
            </w:r>
            <w:r>
              <w:rPr>
                <w:rFonts w:ascii="Calibri" w:eastAsia="Calibri" w:hAnsi="Calibri" w:cs="Calibri"/>
              </w:rPr>
              <w:t>n.</w:t>
            </w:r>
          </w:p>
        </w:tc>
      </w:tr>
      <w:tr w:rsidR="00093128" w14:paraId="4F93671D" w14:textId="77777777" w:rsidTr="00690857">
        <w:tc>
          <w:tcPr>
            <w:tcW w:w="0" w:type="auto"/>
            <w:tcBorders>
              <w:top w:val="single" w:sz="4" w:space="0" w:color="auto"/>
              <w:bottom w:val="single" w:sz="4" w:space="0" w:color="auto"/>
            </w:tcBorders>
            <w:vAlign w:val="center"/>
          </w:tcPr>
          <w:p w14:paraId="32E78848" w14:textId="77777777" w:rsidR="00093128" w:rsidRPr="00115A51" w:rsidRDefault="00093128" w:rsidP="0045018E">
            <w:pPr>
              <w:rPr>
                <w:rFonts w:ascii="Calibri" w:hAnsi="Calibri" w:cs="Calibri"/>
                <w:b/>
                <w:bCs/>
                <w:color w:val="000000"/>
              </w:rPr>
            </w:pPr>
            <w:r w:rsidRPr="00115A51">
              <w:rPr>
                <w:rFonts w:ascii="Calibri" w:hAnsi="Calibri" w:cs="Calibri"/>
                <w:b/>
                <w:bCs/>
                <w:color w:val="000000"/>
              </w:rPr>
              <w:lastRenderedPageBreak/>
              <w:t>Property</w:t>
            </w:r>
          </w:p>
        </w:tc>
        <w:tc>
          <w:tcPr>
            <w:tcW w:w="0" w:type="auto"/>
            <w:tcBorders>
              <w:bottom w:val="single" w:sz="4" w:space="0" w:color="auto"/>
            </w:tcBorders>
            <w:vAlign w:val="center"/>
          </w:tcPr>
          <w:p w14:paraId="77640E04" w14:textId="77777777" w:rsidR="00093128" w:rsidRDefault="00093128" w:rsidP="0045018E">
            <w:pPr>
              <w:spacing w:line="276" w:lineRule="auto"/>
              <w:rPr>
                <w:rFonts w:ascii="Calibri" w:hAnsi="Calibri" w:cs="Calibri"/>
                <w:color w:val="000000"/>
              </w:rPr>
            </w:pPr>
            <w:r w:rsidRPr="004C489F">
              <w:rPr>
                <w:rFonts w:cs="Arial"/>
              </w:rPr>
              <w:t xml:space="preserve">Further assessment of </w:t>
            </w:r>
            <w:r>
              <w:rPr>
                <w:rFonts w:cs="Arial"/>
              </w:rPr>
              <w:t xml:space="preserve">options for the remaining villages including renewable technologies </w:t>
            </w:r>
          </w:p>
        </w:tc>
        <w:tc>
          <w:tcPr>
            <w:tcW w:w="0" w:type="auto"/>
            <w:tcBorders>
              <w:bottom w:val="single" w:sz="4" w:space="0" w:color="auto"/>
            </w:tcBorders>
            <w:vAlign w:val="center"/>
          </w:tcPr>
          <w:p w14:paraId="547AA3D1" w14:textId="77777777" w:rsidR="00093128" w:rsidRDefault="00093128" w:rsidP="0045018E">
            <w:pPr>
              <w:jc w:val="center"/>
              <w:rPr>
                <w:rFonts w:cstheme="minorHAnsi"/>
                <w:color w:val="000000"/>
              </w:rPr>
            </w:pPr>
            <w:r>
              <w:t>Falkirk Council</w:t>
            </w:r>
          </w:p>
        </w:tc>
        <w:tc>
          <w:tcPr>
            <w:tcW w:w="0" w:type="auto"/>
            <w:tcBorders>
              <w:bottom w:val="single" w:sz="4" w:space="0" w:color="auto"/>
            </w:tcBorders>
            <w:vAlign w:val="center"/>
          </w:tcPr>
          <w:p w14:paraId="7FEB6635" w14:textId="77777777" w:rsidR="00093128" w:rsidRDefault="00093128" w:rsidP="0045018E">
            <w:pPr>
              <w:jc w:val="center"/>
            </w:pPr>
            <w:r>
              <w:t>Falkirk Council Tenants</w:t>
            </w:r>
          </w:p>
        </w:tc>
        <w:tc>
          <w:tcPr>
            <w:tcW w:w="0" w:type="auto"/>
            <w:tcBorders>
              <w:bottom w:val="single" w:sz="4" w:space="0" w:color="auto"/>
            </w:tcBorders>
            <w:shd w:val="clear" w:color="auto" w:fill="C5E0B3" w:themeFill="accent6" w:themeFillTint="66"/>
            <w:vAlign w:val="center"/>
          </w:tcPr>
          <w:p w14:paraId="04BD04EE" w14:textId="77777777" w:rsidR="00093128" w:rsidRPr="00432DE8" w:rsidRDefault="00093128" w:rsidP="0045018E">
            <w:pPr>
              <w:jc w:val="center"/>
              <w:rPr>
                <w:rFonts w:ascii="Wingdings" w:hAnsi="Wingdings" w:cs="Calibri"/>
                <w:color w:val="000000"/>
                <w:sz w:val="36"/>
                <w:szCs w:val="36"/>
              </w:rPr>
            </w:pPr>
            <w:r w:rsidRPr="7D9443FC">
              <w:rPr>
                <w:rFonts w:ascii="Wingdings" w:hAnsi="Wingdings" w:cs="Calibri"/>
                <w:color w:val="000000" w:themeColor="text1"/>
                <w:sz w:val="36"/>
                <w:szCs w:val="36"/>
              </w:rPr>
              <w:t></w:t>
            </w:r>
          </w:p>
        </w:tc>
        <w:tc>
          <w:tcPr>
            <w:tcW w:w="0" w:type="auto"/>
            <w:tcBorders>
              <w:bottom w:val="single" w:sz="4" w:space="0" w:color="auto"/>
            </w:tcBorders>
            <w:shd w:val="clear" w:color="auto" w:fill="FFE599" w:themeFill="accent4" w:themeFillTint="66"/>
            <w:vAlign w:val="center"/>
          </w:tcPr>
          <w:p w14:paraId="6272D3BC" w14:textId="77777777" w:rsidR="00093128" w:rsidRDefault="00093128" w:rsidP="0045018E">
            <w:pPr>
              <w:jc w:val="center"/>
              <w:rPr>
                <w:rFonts w:ascii="Wingdings" w:hAnsi="Wingdings" w:cs="Calibri"/>
                <w:color w:val="000000" w:themeColor="text1"/>
                <w:sz w:val="36"/>
                <w:szCs w:val="36"/>
              </w:rPr>
            </w:pPr>
          </w:p>
          <w:p w14:paraId="6A31B2C1" w14:textId="77777777" w:rsidR="00093128" w:rsidRDefault="00093128" w:rsidP="0045018E">
            <w:pPr>
              <w:jc w:val="center"/>
              <w:rPr>
                <w:rFonts w:ascii="Wingdings" w:hAnsi="Wingdings" w:cs="Calibri"/>
                <w:color w:val="000000"/>
                <w:sz w:val="36"/>
                <w:szCs w:val="36"/>
              </w:rPr>
            </w:pPr>
            <w:r>
              <w:rPr>
                <w:rFonts w:ascii="Wingdings" w:hAnsi="Wingdings" w:cs="Calibri"/>
                <w:color w:val="000000"/>
                <w:sz w:val="36"/>
                <w:szCs w:val="36"/>
              </w:rPr>
              <w:t></w:t>
            </w:r>
          </w:p>
          <w:p w14:paraId="0FA37FB1" w14:textId="77777777" w:rsidR="00093128" w:rsidRPr="00432DE8" w:rsidRDefault="00093128" w:rsidP="0045018E">
            <w:pPr>
              <w:jc w:val="center"/>
              <w:rPr>
                <w:rFonts w:ascii="Wingdings" w:hAnsi="Wingdings" w:cs="Calibri"/>
                <w:color w:val="000000"/>
                <w:sz w:val="36"/>
                <w:szCs w:val="36"/>
              </w:rPr>
            </w:pPr>
          </w:p>
        </w:tc>
        <w:tc>
          <w:tcPr>
            <w:tcW w:w="0" w:type="auto"/>
            <w:tcBorders>
              <w:bottom w:val="single" w:sz="4" w:space="0" w:color="auto"/>
            </w:tcBorders>
            <w:shd w:val="clear" w:color="auto" w:fill="F4B083" w:themeFill="accent2" w:themeFillTint="99"/>
            <w:vAlign w:val="center"/>
          </w:tcPr>
          <w:p w14:paraId="0E665A28" w14:textId="77777777" w:rsidR="00093128" w:rsidRDefault="00093128" w:rsidP="0045018E">
            <w:pPr>
              <w:jc w:val="center"/>
              <w:rPr>
                <w:rFonts w:ascii="Wingdings" w:hAnsi="Wingdings" w:cs="Calibri"/>
                <w:color w:val="000000" w:themeColor="text1"/>
                <w:sz w:val="36"/>
                <w:szCs w:val="36"/>
              </w:rPr>
            </w:pPr>
          </w:p>
          <w:p w14:paraId="079D747F" w14:textId="77777777" w:rsidR="00093128" w:rsidRDefault="00093128" w:rsidP="0045018E">
            <w:pPr>
              <w:jc w:val="center"/>
              <w:rPr>
                <w:rFonts w:ascii="Wingdings" w:hAnsi="Wingdings" w:cs="Calibri"/>
                <w:color w:val="000000"/>
                <w:sz w:val="36"/>
                <w:szCs w:val="36"/>
              </w:rPr>
            </w:pPr>
            <w:r>
              <w:rPr>
                <w:rFonts w:ascii="Wingdings" w:hAnsi="Wingdings" w:cs="Calibri"/>
                <w:color w:val="000000"/>
                <w:sz w:val="36"/>
                <w:szCs w:val="36"/>
              </w:rPr>
              <w:t></w:t>
            </w:r>
          </w:p>
          <w:p w14:paraId="3E8AD5F2" w14:textId="77777777" w:rsidR="00093128" w:rsidRPr="00432DE8" w:rsidRDefault="00093128" w:rsidP="0045018E">
            <w:pPr>
              <w:jc w:val="center"/>
              <w:rPr>
                <w:rFonts w:ascii="Wingdings" w:hAnsi="Wingdings" w:cs="Calibri"/>
                <w:color w:val="000000"/>
                <w:sz w:val="36"/>
                <w:szCs w:val="36"/>
              </w:rPr>
            </w:pPr>
          </w:p>
        </w:tc>
        <w:tc>
          <w:tcPr>
            <w:tcW w:w="0" w:type="auto"/>
            <w:tcBorders>
              <w:bottom w:val="single" w:sz="4" w:space="0" w:color="auto"/>
            </w:tcBorders>
            <w:vAlign w:val="center"/>
          </w:tcPr>
          <w:p w14:paraId="6F3E8C63" w14:textId="77777777" w:rsidR="00093128" w:rsidRPr="00936E77" w:rsidRDefault="00093128" w:rsidP="0045018E">
            <w:pPr>
              <w:jc w:val="both"/>
              <w:rPr>
                <w:rFonts w:ascii="Calibri" w:hAnsi="Calibri" w:cs="Calibri"/>
                <w:color w:val="000000"/>
              </w:rPr>
            </w:pPr>
            <w:r w:rsidRPr="7D9443FC">
              <w:rPr>
                <w:rFonts w:cs="Arial"/>
              </w:rPr>
              <w:t>Blackness; Standburn; South Alloa, Torwood and Limerigg covers all areas with no gas infrastructure.</w:t>
            </w:r>
          </w:p>
        </w:tc>
        <w:tc>
          <w:tcPr>
            <w:tcW w:w="0" w:type="auto"/>
            <w:tcBorders>
              <w:bottom w:val="single" w:sz="4" w:space="0" w:color="auto"/>
            </w:tcBorders>
          </w:tcPr>
          <w:p w14:paraId="4D9CAC3F" w14:textId="77777777" w:rsidR="00093128" w:rsidRDefault="00093128" w:rsidP="0045018E">
            <w:pPr>
              <w:rPr>
                <w:rFonts w:ascii="Calibri" w:hAnsi="Calibri" w:cs="Calibri"/>
                <w:b/>
                <w:color w:val="000000"/>
              </w:rPr>
            </w:pPr>
            <w:r>
              <w:rPr>
                <w:rFonts w:ascii="Calibri" w:hAnsi="Calibri" w:cs="Calibri"/>
                <w:b/>
                <w:color w:val="000000"/>
              </w:rPr>
              <w:t>Ongoing</w:t>
            </w:r>
            <w:r w:rsidRPr="00290FD7">
              <w:rPr>
                <w:rFonts w:ascii="Calibri" w:hAnsi="Calibri" w:cs="Calibri"/>
                <w:b/>
                <w:color w:val="000000"/>
              </w:rPr>
              <w:t xml:space="preserve"> </w:t>
            </w:r>
          </w:p>
          <w:p w14:paraId="0E88D783" w14:textId="77777777" w:rsidR="00093128" w:rsidRPr="00A92109" w:rsidRDefault="00093128" w:rsidP="0045018E">
            <w:pPr>
              <w:spacing w:after="160" w:line="259" w:lineRule="auto"/>
              <w:rPr>
                <w:rFonts w:ascii="Calibri" w:eastAsia="Calibri" w:hAnsi="Calibri" w:cs="Calibri"/>
                <w:b/>
                <w:bCs/>
                <w:color w:val="000000"/>
              </w:rPr>
            </w:pPr>
            <w:r w:rsidRPr="00A92109">
              <w:rPr>
                <w:rFonts w:ascii="Calibri" w:eastAsia="Calibri" w:hAnsi="Calibri" w:cs="Calibri"/>
                <w:b/>
                <w:bCs/>
                <w:color w:val="000000"/>
              </w:rPr>
              <w:t>Phase 1</w:t>
            </w:r>
          </w:p>
          <w:p w14:paraId="32C08246" w14:textId="77777777" w:rsidR="00093128" w:rsidRPr="00A92109" w:rsidRDefault="00093128" w:rsidP="0045018E">
            <w:pPr>
              <w:spacing w:after="160" w:line="259" w:lineRule="auto"/>
              <w:rPr>
                <w:rFonts w:ascii="Calibri" w:eastAsia="Calibri" w:hAnsi="Calibri" w:cs="Times New Roman"/>
              </w:rPr>
            </w:pPr>
            <w:r>
              <w:rPr>
                <w:rFonts w:ascii="Calibri" w:eastAsia="Calibri" w:hAnsi="Calibri" w:cs="Calibri"/>
              </w:rPr>
              <w:t>Air Source Heat Pump (</w:t>
            </w:r>
            <w:r w:rsidRPr="006E1F2B">
              <w:rPr>
                <w:rFonts w:ascii="Calibri" w:eastAsia="Calibri" w:hAnsi="Calibri" w:cs="Calibri"/>
              </w:rPr>
              <w:t>ASHP</w:t>
            </w:r>
            <w:r>
              <w:rPr>
                <w:rFonts w:ascii="Calibri" w:eastAsia="Calibri" w:hAnsi="Calibri" w:cs="Calibri"/>
              </w:rPr>
              <w:t xml:space="preserve">) </w:t>
            </w:r>
            <w:r w:rsidRPr="006E1F2B">
              <w:rPr>
                <w:rFonts w:ascii="Calibri" w:eastAsia="Calibri" w:hAnsi="Calibri" w:cs="Calibri"/>
              </w:rPr>
              <w:t>installations to properties included in Phase 1 are complete except for one property in a communal block where consultation with owners is ongoing.</w:t>
            </w:r>
          </w:p>
          <w:p w14:paraId="1E528E6C" w14:textId="77777777" w:rsidR="00093128" w:rsidRPr="00A92109" w:rsidRDefault="00093128" w:rsidP="0045018E">
            <w:pPr>
              <w:spacing w:after="160" w:line="259" w:lineRule="auto"/>
              <w:rPr>
                <w:rFonts w:ascii="Calibri" w:eastAsia="Calibri" w:hAnsi="Calibri" w:cs="Times New Roman"/>
              </w:rPr>
            </w:pPr>
            <w:r w:rsidRPr="641A7F5F">
              <w:rPr>
                <w:rFonts w:ascii="Calibri" w:eastAsia="Calibri" w:hAnsi="Calibri" w:cs="Times New Roman"/>
              </w:rPr>
              <w:t xml:space="preserve"> A follow up survey took place with 13/27 tenants, 6 months after the installation date of the new heating. </w:t>
            </w:r>
          </w:p>
          <w:p w14:paraId="602E9AA7" w14:textId="77777777" w:rsidR="00093128" w:rsidRPr="00A92109" w:rsidRDefault="00093128" w:rsidP="0045018E">
            <w:pPr>
              <w:spacing w:after="160" w:line="259" w:lineRule="auto"/>
              <w:rPr>
                <w:rFonts w:ascii="Calibri" w:eastAsia="Calibri" w:hAnsi="Calibri" w:cs="Times New Roman"/>
              </w:rPr>
            </w:pPr>
            <w:r w:rsidRPr="641A7F5F">
              <w:rPr>
                <w:rFonts w:ascii="Calibri" w:eastAsia="Calibri" w:hAnsi="Calibri" w:cs="Calibri"/>
              </w:rPr>
              <w:t>Taking the pre and post survey results into consideration it is clear to see that a combination of the new heating, solar pv’s, battery storage and the new windows and doors has made a real difference to the thermal comfort of these homes. The reduction in the need for temporary heaters, the improvement in damp and condensation and the reduction in fuel bills has meant a big difference to the lives of the tenants involved.</w:t>
            </w:r>
          </w:p>
          <w:p w14:paraId="76EFD534" w14:textId="77777777" w:rsidR="00093128" w:rsidRPr="00A92109" w:rsidRDefault="00093128" w:rsidP="0045018E">
            <w:pPr>
              <w:spacing w:after="160" w:line="259" w:lineRule="auto"/>
              <w:rPr>
                <w:rFonts w:ascii="Calibri" w:eastAsia="Calibri" w:hAnsi="Calibri" w:cs="Times New Roman"/>
              </w:rPr>
            </w:pPr>
            <w:r w:rsidRPr="641A7F5F">
              <w:rPr>
                <w:rFonts w:ascii="Calibri" w:eastAsia="Calibri" w:hAnsi="Calibri" w:cs="Times New Roman"/>
              </w:rPr>
              <w:t>To date, 3 tenants refused the proposed change of heating.</w:t>
            </w:r>
          </w:p>
          <w:p w14:paraId="69D3123E" w14:textId="77777777" w:rsidR="00093128" w:rsidRPr="00A92109" w:rsidRDefault="00093128" w:rsidP="0045018E">
            <w:pPr>
              <w:spacing w:after="160" w:line="259" w:lineRule="auto"/>
              <w:rPr>
                <w:rFonts w:ascii="Calibri" w:eastAsia="Calibri" w:hAnsi="Calibri" w:cs="Times New Roman"/>
              </w:rPr>
            </w:pPr>
            <w:r w:rsidRPr="00A92109">
              <w:rPr>
                <w:rFonts w:ascii="Calibri" w:eastAsia="Calibri" w:hAnsi="Calibri" w:cs="Times New Roman"/>
                <w:b/>
                <w:bCs/>
              </w:rPr>
              <w:lastRenderedPageBreak/>
              <w:t>Phase 2</w:t>
            </w:r>
            <w:r w:rsidRPr="00A92109">
              <w:rPr>
                <w:rFonts w:ascii="Calibri" w:eastAsia="Calibri" w:hAnsi="Calibri" w:cs="Times New Roman"/>
              </w:rPr>
              <w:t xml:space="preserve"> </w:t>
            </w:r>
          </w:p>
          <w:p w14:paraId="616FB328" w14:textId="5E419DBE" w:rsidR="00093128" w:rsidRDefault="00093128" w:rsidP="0045018E">
            <w:pPr>
              <w:rPr>
                <w:rFonts w:ascii="Calibri" w:eastAsia="Calibri" w:hAnsi="Calibri" w:cs="Calibri"/>
                <w:color w:val="000000" w:themeColor="text1"/>
              </w:rPr>
            </w:pPr>
            <w:r w:rsidRPr="179CD3F2">
              <w:rPr>
                <w:rFonts w:ascii="Calibri" w:eastAsia="Calibri" w:hAnsi="Calibri" w:cs="Calibri"/>
                <w:color w:val="000000" w:themeColor="text1"/>
              </w:rPr>
              <w:t>Scottish Government (SG) Funding was approved for Phase 2</w:t>
            </w:r>
            <w:r w:rsidR="00D21C4B">
              <w:rPr>
                <w:rFonts w:ascii="Calibri" w:eastAsia="Calibri" w:hAnsi="Calibri" w:cs="Calibri"/>
                <w:color w:val="000000" w:themeColor="text1"/>
              </w:rPr>
              <w:t xml:space="preserve"> and this work is now progressing.</w:t>
            </w:r>
          </w:p>
          <w:p w14:paraId="1538EF2F" w14:textId="77777777" w:rsidR="00093128" w:rsidRDefault="00093128" w:rsidP="0045018E">
            <w:pPr>
              <w:rPr>
                <w:rFonts w:ascii="Calibri" w:eastAsia="Calibri" w:hAnsi="Calibri" w:cs="Calibri"/>
                <w:color w:val="000000" w:themeColor="text1"/>
              </w:rPr>
            </w:pPr>
          </w:p>
          <w:p w14:paraId="443C95E5" w14:textId="77777777" w:rsidR="00093128" w:rsidRPr="00A92109" w:rsidRDefault="00093128" w:rsidP="0045018E">
            <w:pPr>
              <w:spacing w:after="160" w:line="259" w:lineRule="auto"/>
              <w:rPr>
                <w:rFonts w:ascii="Calibri" w:eastAsia="Calibri" w:hAnsi="Calibri" w:cs="Times New Roman"/>
              </w:rPr>
            </w:pPr>
            <w:r w:rsidRPr="3CFCED59">
              <w:rPr>
                <w:rFonts w:ascii="Calibri" w:eastAsia="Calibri" w:hAnsi="Calibri" w:cs="Times New Roman"/>
              </w:rPr>
              <w:t>The Energy Officer has installed internal temperature and humidity monitoring devices in 1 property in Limerigg and 1 property in Whitecross prior to the new heating being installed in Phase 2. This will provide comparative data and assess the impact on the thermal comfort of the new heating.</w:t>
            </w:r>
          </w:p>
          <w:p w14:paraId="3ACCBE2C" w14:textId="2B6CB53E" w:rsidR="3AB7389F" w:rsidRDefault="3AB7389F" w:rsidP="3CFCED59">
            <w:pPr>
              <w:spacing w:after="160" w:line="259" w:lineRule="auto"/>
              <w:rPr>
                <w:rFonts w:ascii="Calibri" w:eastAsia="Calibri" w:hAnsi="Calibri" w:cs="Times New Roman"/>
              </w:rPr>
            </w:pPr>
            <w:r w:rsidRPr="3CFCED59">
              <w:rPr>
                <w:rFonts w:ascii="Calibri" w:eastAsia="Calibri" w:hAnsi="Calibri" w:cs="Times New Roman"/>
              </w:rPr>
              <w:t xml:space="preserve">88 ASHP/ PV </w:t>
            </w:r>
            <w:r w:rsidR="1916B06C" w:rsidRPr="3CFCED59">
              <w:rPr>
                <w:rFonts w:ascii="Calibri" w:eastAsia="Calibri" w:hAnsi="Calibri" w:cs="Times New Roman"/>
              </w:rPr>
              <w:t>installations</w:t>
            </w:r>
            <w:r w:rsidRPr="3CFCED59">
              <w:rPr>
                <w:rFonts w:ascii="Calibri" w:eastAsia="Calibri" w:hAnsi="Calibri" w:cs="Times New Roman"/>
              </w:rPr>
              <w:t xml:space="preserve"> </w:t>
            </w:r>
            <w:r w:rsidR="2432AED4" w:rsidRPr="3CFCED59">
              <w:rPr>
                <w:rFonts w:ascii="Calibri" w:eastAsia="Calibri" w:hAnsi="Calibri" w:cs="Times New Roman"/>
              </w:rPr>
              <w:t>have been</w:t>
            </w:r>
            <w:r w:rsidRPr="3CFCED59">
              <w:rPr>
                <w:rFonts w:ascii="Calibri" w:eastAsia="Calibri" w:hAnsi="Calibri" w:cs="Times New Roman"/>
              </w:rPr>
              <w:t xml:space="preserve"> </w:t>
            </w:r>
            <w:r w:rsidR="5256331F" w:rsidRPr="3CFCED59">
              <w:rPr>
                <w:rFonts w:ascii="Calibri" w:eastAsia="Calibri" w:hAnsi="Calibri" w:cs="Times New Roman"/>
              </w:rPr>
              <w:t xml:space="preserve">completed under Phase 2 in </w:t>
            </w:r>
            <w:r w:rsidR="00570E50" w:rsidRPr="3CFCED59">
              <w:rPr>
                <w:rFonts w:ascii="Calibri" w:eastAsia="Calibri" w:hAnsi="Calibri" w:cs="Times New Roman"/>
              </w:rPr>
              <w:t>Slamannan</w:t>
            </w:r>
            <w:r w:rsidR="704E375F" w:rsidRPr="3CFCED59">
              <w:rPr>
                <w:rFonts w:ascii="Calibri" w:eastAsia="Calibri" w:hAnsi="Calibri" w:cs="Times New Roman"/>
              </w:rPr>
              <w:t xml:space="preserve">, </w:t>
            </w:r>
            <w:r w:rsidR="5B6D3446" w:rsidRPr="3CFCED59">
              <w:rPr>
                <w:rFonts w:ascii="Calibri" w:eastAsia="Calibri" w:hAnsi="Calibri" w:cs="Times New Roman"/>
              </w:rPr>
              <w:t>California, Whitecross</w:t>
            </w:r>
            <w:r w:rsidR="704E375F" w:rsidRPr="3CFCED59">
              <w:rPr>
                <w:rFonts w:ascii="Calibri" w:eastAsia="Calibri" w:hAnsi="Calibri" w:cs="Times New Roman"/>
              </w:rPr>
              <w:t xml:space="preserve"> and Avonbri</w:t>
            </w:r>
            <w:r w:rsidR="2815E0AF" w:rsidRPr="3CFCED59">
              <w:rPr>
                <w:rFonts w:ascii="Calibri" w:eastAsia="Calibri" w:hAnsi="Calibri" w:cs="Times New Roman"/>
              </w:rPr>
              <w:t>d</w:t>
            </w:r>
            <w:r w:rsidR="704E375F" w:rsidRPr="3CFCED59">
              <w:rPr>
                <w:rFonts w:ascii="Calibri" w:eastAsia="Calibri" w:hAnsi="Calibri" w:cs="Times New Roman"/>
              </w:rPr>
              <w:t>g</w:t>
            </w:r>
            <w:r w:rsidR="6FBCC2B2" w:rsidRPr="3CFCED59">
              <w:rPr>
                <w:rFonts w:ascii="Calibri" w:eastAsia="Calibri" w:hAnsi="Calibri" w:cs="Times New Roman"/>
              </w:rPr>
              <w:t>e</w:t>
            </w:r>
            <w:r w:rsidR="48C36E16" w:rsidRPr="3CFCED59">
              <w:rPr>
                <w:rFonts w:ascii="Calibri" w:eastAsia="Calibri" w:hAnsi="Calibri" w:cs="Times New Roman"/>
              </w:rPr>
              <w:t>.</w:t>
            </w:r>
            <w:r w:rsidR="7047C00F" w:rsidRPr="3CFCED59">
              <w:rPr>
                <w:rFonts w:ascii="Calibri" w:eastAsia="Calibri" w:hAnsi="Calibri" w:cs="Times New Roman"/>
              </w:rPr>
              <w:t xml:space="preserve"> </w:t>
            </w:r>
            <w:r w:rsidR="58B6FEA9" w:rsidRPr="3CFCED59">
              <w:rPr>
                <w:rFonts w:ascii="Calibri" w:eastAsia="Calibri" w:hAnsi="Calibri" w:cs="Times New Roman"/>
              </w:rPr>
              <w:t xml:space="preserve">A small number of installations have been delayed due to access issues, </w:t>
            </w:r>
            <w:proofErr w:type="gramStart"/>
            <w:r w:rsidR="37167676" w:rsidRPr="3CFCED59">
              <w:rPr>
                <w:rFonts w:ascii="Calibri" w:eastAsia="Calibri" w:hAnsi="Calibri" w:cs="Times New Roman"/>
              </w:rPr>
              <w:t>refusals</w:t>
            </w:r>
            <w:proofErr w:type="gramEnd"/>
            <w:r w:rsidR="37167676" w:rsidRPr="3CFCED59">
              <w:rPr>
                <w:rFonts w:ascii="Calibri" w:eastAsia="Calibri" w:hAnsi="Calibri" w:cs="Times New Roman"/>
              </w:rPr>
              <w:t xml:space="preserve"> and </w:t>
            </w:r>
            <w:r w:rsidR="2D23A669" w:rsidRPr="3CFCED59">
              <w:rPr>
                <w:rFonts w:ascii="Calibri" w:eastAsia="Calibri" w:hAnsi="Calibri" w:cs="Times New Roman"/>
              </w:rPr>
              <w:t xml:space="preserve">essential </w:t>
            </w:r>
            <w:r w:rsidR="37167676" w:rsidRPr="3CFCED59">
              <w:rPr>
                <w:rFonts w:ascii="Calibri" w:eastAsia="Calibri" w:hAnsi="Calibri" w:cs="Times New Roman"/>
              </w:rPr>
              <w:t xml:space="preserve">remedial works. </w:t>
            </w:r>
          </w:p>
          <w:p w14:paraId="634F5864" w14:textId="77777777" w:rsidR="00093128" w:rsidRDefault="00093128" w:rsidP="0045018E">
            <w:pPr>
              <w:rPr>
                <w:rFonts w:ascii="Calibri" w:hAnsi="Calibri" w:cs="Calibri"/>
                <w:b/>
                <w:bCs/>
                <w:color w:val="000000"/>
              </w:rPr>
            </w:pPr>
          </w:p>
          <w:p w14:paraId="68732683" w14:textId="77777777" w:rsidR="00093128" w:rsidRDefault="00093128" w:rsidP="0045018E">
            <w:pPr>
              <w:rPr>
                <w:rFonts w:ascii="Calibri" w:hAnsi="Calibri" w:cs="Calibri"/>
                <w:color w:val="000000"/>
              </w:rPr>
            </w:pPr>
          </w:p>
          <w:p w14:paraId="28A2A720" w14:textId="77777777" w:rsidR="00DD6D76" w:rsidRDefault="00DD6D76" w:rsidP="0045018E">
            <w:pPr>
              <w:rPr>
                <w:rFonts w:ascii="Calibri" w:hAnsi="Calibri" w:cs="Calibri"/>
                <w:color w:val="000000"/>
              </w:rPr>
            </w:pPr>
          </w:p>
          <w:p w14:paraId="21BB7CCC" w14:textId="77777777" w:rsidR="00DD6D76" w:rsidRDefault="00DD6D76" w:rsidP="0045018E">
            <w:pPr>
              <w:rPr>
                <w:rFonts w:ascii="Calibri" w:hAnsi="Calibri" w:cs="Calibri"/>
                <w:color w:val="000000"/>
              </w:rPr>
            </w:pPr>
          </w:p>
          <w:p w14:paraId="04D07BA0" w14:textId="77777777" w:rsidR="00CA7D31" w:rsidRDefault="00CA7D31" w:rsidP="0045018E">
            <w:pPr>
              <w:rPr>
                <w:rFonts w:ascii="Calibri" w:hAnsi="Calibri" w:cs="Calibri"/>
                <w:color w:val="000000"/>
              </w:rPr>
            </w:pPr>
          </w:p>
          <w:p w14:paraId="6261DD92" w14:textId="77777777" w:rsidR="00CA7D31" w:rsidRDefault="00CA7D31" w:rsidP="0045018E">
            <w:pPr>
              <w:rPr>
                <w:rFonts w:ascii="Calibri" w:hAnsi="Calibri" w:cs="Calibri"/>
                <w:color w:val="000000"/>
              </w:rPr>
            </w:pPr>
          </w:p>
          <w:p w14:paraId="0258EA0A" w14:textId="77777777" w:rsidR="00CA7D31" w:rsidRDefault="00CA7D31" w:rsidP="0045018E">
            <w:pPr>
              <w:rPr>
                <w:rFonts w:ascii="Calibri" w:hAnsi="Calibri" w:cs="Calibri"/>
                <w:color w:val="000000"/>
              </w:rPr>
            </w:pPr>
          </w:p>
          <w:p w14:paraId="75FEEB3D" w14:textId="77777777" w:rsidR="00DD6D76" w:rsidRPr="00B87C4C" w:rsidRDefault="00DD6D76" w:rsidP="0045018E">
            <w:pPr>
              <w:rPr>
                <w:rFonts w:ascii="Calibri" w:hAnsi="Calibri" w:cs="Calibri"/>
                <w:color w:val="000000"/>
              </w:rPr>
            </w:pPr>
          </w:p>
        </w:tc>
      </w:tr>
    </w:tbl>
    <w:p w14:paraId="0D27DE71" w14:textId="77777777" w:rsidR="0026748E" w:rsidRDefault="0026748E" w:rsidP="0026748E"/>
    <w:p w14:paraId="38036E0F" w14:textId="07B02FD6" w:rsidR="0026748E" w:rsidRPr="0026748E" w:rsidRDefault="0026748E" w:rsidP="0026748E">
      <w:pPr>
        <w:rPr>
          <w:b/>
          <w:bCs/>
        </w:rPr>
      </w:pPr>
      <w:r w:rsidRPr="0026748E">
        <w:rPr>
          <w:b/>
          <w:bCs/>
        </w:rPr>
        <w:lastRenderedPageBreak/>
        <w:t>General Updates</w:t>
      </w:r>
    </w:p>
    <w:p w14:paraId="40C72BDA" w14:textId="712583DA" w:rsidR="0026748E" w:rsidRPr="0026748E" w:rsidRDefault="0026748E" w:rsidP="0026748E">
      <w:r w:rsidRPr="0026748E">
        <w:t>From 1</w:t>
      </w:r>
      <w:r w:rsidRPr="0026748E">
        <w:rPr>
          <w:vertAlign w:val="superscript"/>
        </w:rPr>
        <w:t>st</w:t>
      </w:r>
      <w:r w:rsidRPr="0026748E">
        <w:t xml:space="preserve"> February 2023 – 31</w:t>
      </w:r>
      <w:r w:rsidRPr="0026748E">
        <w:rPr>
          <w:vertAlign w:val="superscript"/>
        </w:rPr>
        <w:t>st</w:t>
      </w:r>
      <w:r w:rsidRPr="0026748E">
        <w:t xml:space="preserve"> December 2023 we have completed:</w:t>
      </w:r>
    </w:p>
    <w:p w14:paraId="33EA11C1" w14:textId="77777777" w:rsidR="0026748E" w:rsidRPr="0026748E" w:rsidRDefault="0026748E" w:rsidP="0026748E">
      <w:r w:rsidRPr="0026748E">
        <w:t>Installations</w:t>
      </w:r>
    </w:p>
    <w:p w14:paraId="35B7DE7F" w14:textId="77777777" w:rsidR="0026748E" w:rsidRPr="0026748E" w:rsidRDefault="0026748E" w:rsidP="0026748E">
      <w:pPr>
        <w:numPr>
          <w:ilvl w:val="0"/>
          <w:numId w:val="4"/>
        </w:numPr>
      </w:pPr>
      <w:r w:rsidRPr="0026748E">
        <w:t>Replacement boilers 26</w:t>
      </w:r>
    </w:p>
    <w:p w14:paraId="69DF8F9E" w14:textId="77777777" w:rsidR="0026748E" w:rsidRPr="0026748E" w:rsidRDefault="0026748E" w:rsidP="0026748E">
      <w:pPr>
        <w:numPr>
          <w:ilvl w:val="0"/>
          <w:numId w:val="4"/>
        </w:numPr>
      </w:pPr>
      <w:r w:rsidRPr="0026748E">
        <w:t>Refurbished boilers 4</w:t>
      </w:r>
    </w:p>
    <w:p w14:paraId="434E1303" w14:textId="24062291" w:rsidR="0026748E" w:rsidRPr="0026748E" w:rsidRDefault="0026748E" w:rsidP="0026748E">
      <w:pPr>
        <w:numPr>
          <w:ilvl w:val="0"/>
          <w:numId w:val="4"/>
        </w:numPr>
      </w:pPr>
      <w:r w:rsidRPr="0026748E">
        <w:t>Full new systems – 2 </w:t>
      </w:r>
    </w:p>
    <w:p w14:paraId="253C282B" w14:textId="2368A3DC" w:rsidR="0026748E" w:rsidRPr="0026748E" w:rsidRDefault="0026748E" w:rsidP="0026748E">
      <w:r w:rsidRPr="0026748E">
        <w:t>427 boiler services have been completed</w:t>
      </w:r>
      <w:r>
        <w:t>.</w:t>
      </w:r>
    </w:p>
    <w:p w14:paraId="47D317E8" w14:textId="006306BE" w:rsidR="0026748E" w:rsidRPr="0026748E" w:rsidRDefault="0026748E" w:rsidP="0026748E">
      <w:r w:rsidRPr="0026748E">
        <w:t xml:space="preserve">131 </w:t>
      </w:r>
      <w:proofErr w:type="spellStart"/>
      <w:r w:rsidRPr="0026748E">
        <w:t>Thermaflows</w:t>
      </w:r>
      <w:proofErr w:type="spellEnd"/>
      <w:r w:rsidRPr="0026748E">
        <w:t xml:space="preserve"> heating systems have been removed and replaced with Air Source Heat Pumps</w:t>
      </w:r>
      <w:r>
        <w:t>.</w:t>
      </w:r>
      <w:r>
        <w:br/>
      </w:r>
    </w:p>
    <w:p w14:paraId="737B6111" w14:textId="52ADE39C" w:rsidR="0026748E" w:rsidRPr="0026748E" w:rsidRDefault="0026748E" w:rsidP="0026748E">
      <w:pPr>
        <w:numPr>
          <w:ilvl w:val="0"/>
          <w:numId w:val="6"/>
        </w:numPr>
      </w:pPr>
      <w:r w:rsidRPr="0026748E">
        <w:t>Year 3 of the current window and door programme is progressing well with Year 4 addresses now being issued for survey works to start.  As year 4 signifies the end of the current contract, we are now starting the procurement process for the new contract which will incorporate Years 5-8. This is planned to start in 2025 as Year 4 of the current contract comes to an end.</w:t>
      </w:r>
    </w:p>
    <w:p w14:paraId="5FD1A250" w14:textId="2E12D456" w:rsidR="0026748E" w:rsidRPr="0026748E" w:rsidRDefault="0026748E" w:rsidP="0026748E">
      <w:pPr>
        <w:numPr>
          <w:ilvl w:val="0"/>
          <w:numId w:val="4"/>
        </w:numPr>
      </w:pPr>
      <w:r w:rsidRPr="0026748E">
        <w:t xml:space="preserve">There is now a link on the Falkirk Council web site with financial assistance information and more: - </w:t>
      </w:r>
      <w:hyperlink r:id="rId9" w:history="1">
        <w:r w:rsidRPr="0026748E">
          <w:rPr>
            <w:rStyle w:val="Hyperlink"/>
          </w:rPr>
          <w:t>Benefits &amp; support - Energy grants | Falkirk Council</w:t>
        </w:r>
      </w:hyperlink>
    </w:p>
    <w:p w14:paraId="084CB4E0" w14:textId="77777777" w:rsidR="0026748E" w:rsidRPr="0026748E" w:rsidRDefault="0026748E" w:rsidP="0026748E">
      <w:r w:rsidRPr="0026748E">
        <w:t>427 off-gas households have been referred for a payment through the Household Support Fund. 365 households (85%) have received this support to date. This fund has been set up to support low-income households struggling with the rising cost of living.</w:t>
      </w:r>
    </w:p>
    <w:p w14:paraId="45812BC1" w14:textId="01C3B8BD" w:rsidR="00093128" w:rsidRDefault="00093128" w:rsidP="00093128"/>
    <w:p w14:paraId="166F7B3B" w14:textId="77777777" w:rsidR="00093128" w:rsidRDefault="00093128" w:rsidP="00093128"/>
    <w:sectPr w:rsidR="00093128" w:rsidSect="001D793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3B6F"/>
    <w:multiLevelType w:val="hybridMultilevel"/>
    <w:tmpl w:val="5FB645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25667"/>
    <w:multiLevelType w:val="hybridMultilevel"/>
    <w:tmpl w:val="03F429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F57002"/>
    <w:multiLevelType w:val="hybridMultilevel"/>
    <w:tmpl w:val="78EC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6E303E"/>
    <w:multiLevelType w:val="hybridMultilevel"/>
    <w:tmpl w:val="10EC8F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363903"/>
    <w:multiLevelType w:val="hybridMultilevel"/>
    <w:tmpl w:val="110C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0300605">
    <w:abstractNumId w:val="2"/>
  </w:num>
  <w:num w:numId="2" w16cid:durableId="1134711157">
    <w:abstractNumId w:val="4"/>
  </w:num>
  <w:num w:numId="3" w16cid:durableId="947732885">
    <w:abstractNumId w:val="1"/>
  </w:num>
  <w:num w:numId="4" w16cid:durableId="803156725">
    <w:abstractNumId w:val="0"/>
  </w:num>
  <w:num w:numId="5" w16cid:durableId="1716277629">
    <w:abstractNumId w:val="0"/>
  </w:num>
  <w:num w:numId="6" w16cid:durableId="558323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28"/>
    <w:rsid w:val="00011C8E"/>
    <w:rsid w:val="00042ACC"/>
    <w:rsid w:val="00093128"/>
    <w:rsid w:val="000D5CFD"/>
    <w:rsid w:val="001D793A"/>
    <w:rsid w:val="001F4E73"/>
    <w:rsid w:val="00215BD7"/>
    <w:rsid w:val="0026748E"/>
    <w:rsid w:val="00316D98"/>
    <w:rsid w:val="00322A98"/>
    <w:rsid w:val="0044702E"/>
    <w:rsid w:val="00466DA8"/>
    <w:rsid w:val="004E05E2"/>
    <w:rsid w:val="00570E50"/>
    <w:rsid w:val="00626549"/>
    <w:rsid w:val="00682534"/>
    <w:rsid w:val="00690857"/>
    <w:rsid w:val="007018FE"/>
    <w:rsid w:val="007079A5"/>
    <w:rsid w:val="00743316"/>
    <w:rsid w:val="007A5B9F"/>
    <w:rsid w:val="007C1E4F"/>
    <w:rsid w:val="00806C78"/>
    <w:rsid w:val="008576B6"/>
    <w:rsid w:val="00865840"/>
    <w:rsid w:val="008759CA"/>
    <w:rsid w:val="008B29DE"/>
    <w:rsid w:val="008F0183"/>
    <w:rsid w:val="009C1620"/>
    <w:rsid w:val="00AF30E2"/>
    <w:rsid w:val="00AF465D"/>
    <w:rsid w:val="00B81240"/>
    <w:rsid w:val="00BA7502"/>
    <w:rsid w:val="00BD1E93"/>
    <w:rsid w:val="00C67F07"/>
    <w:rsid w:val="00C829DC"/>
    <w:rsid w:val="00CA7D31"/>
    <w:rsid w:val="00D21C4B"/>
    <w:rsid w:val="00D434F4"/>
    <w:rsid w:val="00D97F72"/>
    <w:rsid w:val="00DD6D76"/>
    <w:rsid w:val="00EB7ED0"/>
    <w:rsid w:val="00EE6D58"/>
    <w:rsid w:val="0C67D172"/>
    <w:rsid w:val="0D50EF35"/>
    <w:rsid w:val="11CE0BA3"/>
    <w:rsid w:val="1747D241"/>
    <w:rsid w:val="184156B0"/>
    <w:rsid w:val="1916B06C"/>
    <w:rsid w:val="19B64FB2"/>
    <w:rsid w:val="1A7F7303"/>
    <w:rsid w:val="1FB86928"/>
    <w:rsid w:val="2432AED4"/>
    <w:rsid w:val="2815E0AF"/>
    <w:rsid w:val="2B703163"/>
    <w:rsid w:val="2D0C01C4"/>
    <w:rsid w:val="2D23A669"/>
    <w:rsid w:val="2FC04773"/>
    <w:rsid w:val="351713A9"/>
    <w:rsid w:val="356F4F4B"/>
    <w:rsid w:val="37167676"/>
    <w:rsid w:val="3AB7389F"/>
    <w:rsid w:val="3AC571B9"/>
    <w:rsid w:val="3CFCED59"/>
    <w:rsid w:val="40AB3D51"/>
    <w:rsid w:val="48C36E16"/>
    <w:rsid w:val="4ADB432C"/>
    <w:rsid w:val="5256331F"/>
    <w:rsid w:val="54D39C73"/>
    <w:rsid w:val="566F6CD4"/>
    <w:rsid w:val="58B6FEA9"/>
    <w:rsid w:val="5A71CB3A"/>
    <w:rsid w:val="5B42DDF7"/>
    <w:rsid w:val="5B6D3446"/>
    <w:rsid w:val="5CDEAE58"/>
    <w:rsid w:val="5D80FA4A"/>
    <w:rsid w:val="5E7FDFA1"/>
    <w:rsid w:val="639637CF"/>
    <w:rsid w:val="67A0DC11"/>
    <w:rsid w:val="6FBCC2B2"/>
    <w:rsid w:val="6FE2A7F4"/>
    <w:rsid w:val="7047C00F"/>
    <w:rsid w:val="704E3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F77D"/>
  <w15:chartTrackingRefBased/>
  <w15:docId w15:val="{2C24AE49-62FB-422B-A3DE-DEB819EB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093128"/>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93128"/>
  </w:style>
  <w:style w:type="character" w:styleId="Hyperlink">
    <w:name w:val="Hyperlink"/>
    <w:basedOn w:val="DefaultParagraphFont"/>
    <w:uiPriority w:val="99"/>
    <w:unhideWhenUsed/>
    <w:rsid w:val="008F0183"/>
    <w:rPr>
      <w:color w:val="0563C1" w:themeColor="hyperlink"/>
      <w:u w:val="single"/>
    </w:rPr>
  </w:style>
  <w:style w:type="character" w:styleId="UnresolvedMention">
    <w:name w:val="Unresolved Mention"/>
    <w:basedOn w:val="DefaultParagraphFont"/>
    <w:uiPriority w:val="99"/>
    <w:semiHidden/>
    <w:unhideWhenUsed/>
    <w:rsid w:val="00701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3725">
      <w:bodyDiv w:val="1"/>
      <w:marLeft w:val="0"/>
      <w:marRight w:val="0"/>
      <w:marTop w:val="0"/>
      <w:marBottom w:val="0"/>
      <w:divBdr>
        <w:top w:val="none" w:sz="0" w:space="0" w:color="auto"/>
        <w:left w:val="none" w:sz="0" w:space="0" w:color="auto"/>
        <w:bottom w:val="none" w:sz="0" w:space="0" w:color="auto"/>
        <w:right w:val="none" w:sz="0" w:space="0" w:color="auto"/>
      </w:divBdr>
    </w:div>
    <w:div w:id="49842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falkirk.gov.uk/services/benefits-support/energy-gra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C50F7D55F054D8D71302E5F5C2BB4" ma:contentTypeVersion="9" ma:contentTypeDescription="Create a new document." ma:contentTypeScope="" ma:versionID="037d71a1cc5e88de52a62e55c032a49c">
  <xsd:schema xmlns:xsd="http://www.w3.org/2001/XMLSchema" xmlns:xs="http://www.w3.org/2001/XMLSchema" xmlns:p="http://schemas.microsoft.com/office/2006/metadata/properties" xmlns:ns2="7065164f-989f-443b-ab75-7de4c91fb523" xmlns:ns3="23b8c991-66d7-4f8e-9c88-a929d70ba646" targetNamespace="http://schemas.microsoft.com/office/2006/metadata/properties" ma:root="true" ma:fieldsID="a9481a01eb89ec161ca06224c986654e" ns2:_="" ns3:_="">
    <xsd:import namespace="7065164f-989f-443b-ab75-7de4c91fb523"/>
    <xsd:import namespace="23b8c991-66d7-4f8e-9c88-a929d70ba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5164f-989f-443b-ab75-7de4c91fb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b8c991-66d7-4f8e-9c88-a929d70ba6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78BA5-0328-41AA-A45A-DDE251352A04}">
  <ds:schemaRefs>
    <ds:schemaRef ds:uri="http://schemas.openxmlformats.org/officeDocument/2006/bibliography"/>
  </ds:schemaRefs>
</ds:datastoreItem>
</file>

<file path=customXml/itemProps2.xml><?xml version="1.0" encoding="utf-8"?>
<ds:datastoreItem xmlns:ds="http://schemas.openxmlformats.org/officeDocument/2006/customXml" ds:itemID="{7C30C0C0-2F3A-4557-BC8A-4102BAB29C57}">
  <ds:schemaRefs>
    <ds:schemaRef ds:uri="http://schemas.microsoft.com/sharepoint/v3/contenttype/forms"/>
  </ds:schemaRefs>
</ds:datastoreItem>
</file>

<file path=customXml/itemProps3.xml><?xml version="1.0" encoding="utf-8"?>
<ds:datastoreItem xmlns:ds="http://schemas.openxmlformats.org/officeDocument/2006/customXml" ds:itemID="{F9FE5589-6DDF-491A-B953-A81DF3313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5164f-989f-443b-ab75-7de4c91fb523"/>
    <ds:schemaRef ds:uri="23b8c991-66d7-4f8e-9c88-a929d70ba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D4125-EDB9-4418-BE35-B2FAAA998D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671</Words>
  <Characters>4211</Characters>
  <Application>Microsoft Office Word</Application>
  <DocSecurity>0</DocSecurity>
  <Lines>131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Keast</dc:creator>
  <cp:keywords/>
  <dc:description/>
  <cp:lastModifiedBy>Jonathan Main</cp:lastModifiedBy>
  <cp:revision>2</cp:revision>
  <dcterms:created xsi:type="dcterms:W3CDTF">2024-02-13T10:53:00Z</dcterms:created>
  <dcterms:modified xsi:type="dcterms:W3CDTF">2024-02-13T10:53:00Z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0x0101000DCC50F7D55F054D8D71302E5F5C2BB4</vt:lpwstr>
  </property>
</Properties>
</file>